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7E" w:rsidRPr="0011175E" w:rsidRDefault="0058017E" w:rsidP="005801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9D7F32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7249207" r:id="rId5"/>
        </w:pict>
      </w:r>
      <w:r w:rsidRPr="009D7F32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58017E" w:rsidRPr="0011175E" w:rsidRDefault="0058017E" w:rsidP="0058017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58017E" w:rsidRPr="0011175E" w:rsidRDefault="0058017E" w:rsidP="0058017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58017E" w:rsidRPr="0011175E" w:rsidRDefault="0058017E" w:rsidP="0058017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58017E" w:rsidRPr="0011175E" w:rsidRDefault="0058017E" w:rsidP="0058017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58017E" w:rsidRPr="0011175E" w:rsidRDefault="0058017E" w:rsidP="0058017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58017E" w:rsidRPr="0011175E" w:rsidRDefault="0058017E" w:rsidP="0058017E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58017E" w:rsidRPr="0011175E" w:rsidRDefault="0058017E" w:rsidP="0058017E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58017E" w:rsidRPr="00202F82" w:rsidRDefault="0058017E" w:rsidP="0058017E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58017E" w:rsidRPr="00202F82" w:rsidRDefault="0058017E" w:rsidP="0058017E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8928CE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30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.06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58017E" w:rsidRDefault="0058017E" w:rsidP="0058017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8017E" w:rsidRPr="00147591" w:rsidRDefault="0058017E" w:rsidP="0058017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58017E" w:rsidRPr="00D33DA5" w:rsidRDefault="0058017E" w:rsidP="0058017E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>
        <w:rPr>
          <w:rFonts w:ascii="Arial" w:hAnsi="Arial" w:cs="Arial"/>
          <w:sz w:val="24"/>
          <w:szCs w:val="24"/>
        </w:rPr>
        <w:t>предложение за изменение на ПУП за издаване</w:t>
      </w:r>
      <w:r w:rsidRPr="00F46BA3">
        <w:rPr>
          <w:rFonts w:ascii="Arial" w:hAnsi="Arial" w:cs="Arial"/>
          <w:sz w:val="24"/>
          <w:szCs w:val="24"/>
        </w:rPr>
        <w:t xml:space="preserve"> на разрешение за изработване на комплексен проект за инвестиционна инициатива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9E696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28.06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Комплексен проект за инвестиционна инициатива/КПИИ/</w:t>
      </w:r>
      <w:r w:rsidRPr="00D33D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46BA3">
        <w:rPr>
          <w:rFonts w:ascii="Arial" w:hAnsi="Arial" w:cs="Arial"/>
          <w:sz w:val="24"/>
          <w:szCs w:val="24"/>
        </w:rPr>
        <w:t xml:space="preserve">за </w:t>
      </w:r>
      <w:r w:rsidR="009E696E" w:rsidRPr="001F6443">
        <w:rPr>
          <w:rFonts w:ascii="Arial" w:hAnsi="Arial" w:cs="Arial"/>
          <w:sz w:val="24"/>
          <w:szCs w:val="24"/>
        </w:rPr>
        <w:t>обект</w:t>
      </w:r>
      <w:r w:rsidR="009E696E" w:rsidRPr="001F6443">
        <w:rPr>
          <w:rFonts w:ascii="Arial" w:hAnsi="Arial" w:cs="Arial"/>
          <w:bCs/>
          <w:sz w:val="24"/>
          <w:szCs w:val="24"/>
          <w:lang w:eastAsia="pl-PL"/>
        </w:rPr>
        <w:t xml:space="preserve">: </w:t>
      </w:r>
      <w:r w:rsidR="009E696E" w:rsidRPr="001F6443">
        <w:rPr>
          <w:rFonts w:ascii="Arial" w:hAnsi="Arial" w:cs="Arial"/>
          <w:sz w:val="24"/>
          <w:szCs w:val="24"/>
        </w:rPr>
        <w:t>„Реконструкция и рехабилитация на улична мрежа, включваща улиците „Спартак“, „Трети март“ и „Извор“, в гр.Мадан”</w:t>
      </w:r>
      <w:r w:rsidR="009E696E" w:rsidRPr="001F6443">
        <w:rPr>
          <w:rFonts w:ascii="Arial" w:eastAsia="Calibri" w:hAnsi="Arial" w:cs="Arial"/>
          <w:sz w:val="24"/>
          <w:szCs w:val="24"/>
        </w:rPr>
        <w:t>,</w:t>
      </w:r>
      <w:r w:rsidRPr="00F46BA3">
        <w:rPr>
          <w:rFonts w:ascii="Arial" w:eastAsia="Calibri" w:hAnsi="Arial" w:cs="Arial"/>
          <w:sz w:val="24"/>
          <w:szCs w:val="24"/>
        </w:rPr>
        <w:t xml:space="preserve"> </w:t>
      </w:r>
      <w:r w:rsidRPr="00CE3FD9">
        <w:rPr>
          <w:rFonts w:ascii="Arial" w:hAnsi="Arial" w:cs="Arial"/>
          <w:sz w:val="24"/>
          <w:szCs w:val="24"/>
        </w:rPr>
        <w:t>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B77AD7" w:rsidRDefault="0058017E" w:rsidP="00B77AD7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1160E">
        <w:rPr>
          <w:rFonts w:ascii="Arial" w:hAnsi="Arial" w:cs="Arial"/>
          <w:sz w:val="24"/>
          <w:szCs w:val="24"/>
        </w:rPr>
        <w:t xml:space="preserve">Предлага се изменение на </w:t>
      </w:r>
      <w:r w:rsidR="00B77AD7">
        <w:rPr>
          <w:rFonts w:ascii="Arial" w:hAnsi="Arial" w:cs="Arial"/>
          <w:sz w:val="24"/>
          <w:szCs w:val="24"/>
        </w:rPr>
        <w:t>улична регулация, поради невъзможност от прилагане на действащата улична регулация</w:t>
      </w:r>
      <w:r w:rsidR="00966C3B">
        <w:rPr>
          <w:rFonts w:ascii="Arial" w:hAnsi="Arial" w:cs="Arial"/>
          <w:sz w:val="24"/>
          <w:szCs w:val="24"/>
        </w:rPr>
        <w:t xml:space="preserve"> по отношение на съществуващото застрояване. Новите регулационни линии ще следват имотните граници без да се засягат частни имоти и без необходимост от отчуждаване. </w:t>
      </w:r>
    </w:p>
    <w:p w:rsidR="0058017E" w:rsidRPr="0081160E" w:rsidRDefault="0058017E" w:rsidP="0058017E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58017E" w:rsidRPr="00507950" w:rsidRDefault="0058017E" w:rsidP="0058017E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58017E" w:rsidRPr="00982C45" w:rsidRDefault="0058017E" w:rsidP="0058017E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58017E" w:rsidRDefault="0058017E" w:rsidP="0058017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58017E" w:rsidRDefault="0058017E" w:rsidP="0058017E"/>
    <w:p w:rsidR="0058017E" w:rsidRDefault="0058017E" w:rsidP="0058017E"/>
    <w:p w:rsidR="00941F6E" w:rsidRDefault="00941F6E"/>
    <w:sectPr w:rsidR="00941F6E" w:rsidSect="0005688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17E"/>
    <w:rsid w:val="00196A00"/>
    <w:rsid w:val="0058017E"/>
    <w:rsid w:val="007A0F59"/>
    <w:rsid w:val="00876CBA"/>
    <w:rsid w:val="008928CE"/>
    <w:rsid w:val="008E7E3D"/>
    <w:rsid w:val="00941F6E"/>
    <w:rsid w:val="00966C3B"/>
    <w:rsid w:val="009E696E"/>
    <w:rsid w:val="00A417E2"/>
    <w:rsid w:val="00B77AD7"/>
    <w:rsid w:val="00ED225C"/>
    <w:rsid w:val="00FA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7E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017E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6</cp:revision>
  <dcterms:created xsi:type="dcterms:W3CDTF">2021-07-08T08:24:00Z</dcterms:created>
  <dcterms:modified xsi:type="dcterms:W3CDTF">2021-07-08T08:34:00Z</dcterms:modified>
</cp:coreProperties>
</file>