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42" w:rsidRDefault="00F31442" w:rsidP="00F314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 ЗА ИЗМЕНЕНИЕ НА НАРЕДБА №3</w:t>
      </w:r>
      <w:r w:rsidRPr="00F31442">
        <w:t xml:space="preserve"> </w:t>
      </w:r>
      <w:r w:rsidRPr="00F31442">
        <w:rPr>
          <w:rFonts w:ascii="Arial" w:hAnsi="Arial" w:cs="Arial"/>
          <w:b/>
        </w:rPr>
        <w:t>ЗА РЕДА ЗА ПРИДОБИВАНЕ, УПРАВЛЕНИЕ И РАЗПОРЕЖДАНЕ С ОБЩИНСКАТА СОБСТВЕНОСТ</w:t>
      </w:r>
    </w:p>
    <w:p w:rsidR="00F31442" w:rsidRDefault="00F31442" w:rsidP="00F31442">
      <w:pPr>
        <w:jc w:val="both"/>
        <w:rPr>
          <w:rFonts w:ascii="Arial" w:hAnsi="Arial" w:cs="Arial"/>
          <w:b/>
        </w:rPr>
      </w:pPr>
    </w:p>
    <w:p w:rsidR="00F31442" w:rsidRPr="00F31442" w:rsidRDefault="00F31442" w:rsidP="00F31442">
      <w:pPr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 xml:space="preserve">§1. </w:t>
      </w:r>
      <w:r w:rsidRPr="00F31442">
        <w:rPr>
          <w:rFonts w:ascii="Arial" w:hAnsi="Arial" w:cs="Arial"/>
          <w:b/>
        </w:rPr>
        <w:t>Чл.</w:t>
      </w:r>
      <w:r w:rsidRPr="00F31442">
        <w:rPr>
          <w:rFonts w:ascii="Arial" w:hAnsi="Arial" w:cs="Arial"/>
          <w:b/>
        </w:rPr>
        <w:t>41</w:t>
      </w:r>
      <w:r w:rsidRPr="00F31442">
        <w:rPr>
          <w:rFonts w:ascii="Arial" w:hAnsi="Arial" w:cs="Arial"/>
          <w:b/>
        </w:rPr>
        <w:t>, ал.1 се изменя по следния начин:</w:t>
      </w:r>
    </w:p>
    <w:p w:rsidR="00F31442" w:rsidRPr="00F31442" w:rsidRDefault="00F31442" w:rsidP="00F31442">
      <w:pPr>
        <w:jc w:val="both"/>
        <w:rPr>
          <w:rFonts w:ascii="Arial" w:hAnsi="Arial" w:cs="Arial"/>
        </w:rPr>
      </w:pPr>
      <w:r w:rsidRPr="00F31442">
        <w:rPr>
          <w:rFonts w:ascii="Arial" w:hAnsi="Arial" w:cs="Arial"/>
        </w:rPr>
        <w:t>Чл.41. (1) С решение на общински съвет, имоти – публична общинска собственост или части от тях, могат да се отдават под наем на частни училища и детски градини, открити и лицензирани по Закон за предучилищното и училищното образование, за срок до 5 години при условие че се използват съобразно предназначението им.</w:t>
      </w:r>
    </w:p>
    <w:p w:rsidR="00F31442" w:rsidRDefault="00F31442" w:rsidP="00B86C52">
      <w:pPr>
        <w:jc w:val="both"/>
        <w:rPr>
          <w:rFonts w:ascii="Arial" w:hAnsi="Arial" w:cs="Arial"/>
          <w:b/>
        </w:rPr>
      </w:pPr>
    </w:p>
    <w:p w:rsidR="00F31442" w:rsidRPr="00F31442" w:rsidRDefault="00F31442" w:rsidP="00B86C52">
      <w:pPr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2</w:t>
      </w:r>
      <w:r w:rsidRPr="00F31442">
        <w:rPr>
          <w:rFonts w:ascii="Arial" w:hAnsi="Arial" w:cs="Arial"/>
          <w:b/>
        </w:rPr>
        <w:t xml:space="preserve">. </w:t>
      </w:r>
      <w:r w:rsidRPr="00F31442">
        <w:rPr>
          <w:rFonts w:ascii="Arial" w:hAnsi="Arial" w:cs="Arial"/>
          <w:b/>
        </w:rPr>
        <w:t>Чл.48, ал.1 се изменя по следния начин:</w:t>
      </w:r>
    </w:p>
    <w:p w:rsidR="004963EC" w:rsidRPr="00F31442" w:rsidRDefault="00B86C52" w:rsidP="00B86C52">
      <w:pPr>
        <w:jc w:val="both"/>
        <w:rPr>
          <w:rFonts w:ascii="Arial" w:hAnsi="Arial" w:cs="Arial"/>
        </w:rPr>
      </w:pPr>
      <w:r w:rsidRPr="00F31442">
        <w:rPr>
          <w:rFonts w:ascii="Arial" w:hAnsi="Arial" w:cs="Arial"/>
        </w:rPr>
        <w:t>Чл.48. (1) С решение на общинския съвет, могат да бъдат  предоставяни за ползване, безвъзмездно,  свободни не жилищни имоти – частна общинска собственост, без търг или конкурс, на общинските ръководства на политически партии, отговарящи на условията, предвидени в чл. 31 от Закона за политическите партии.</w:t>
      </w:r>
    </w:p>
    <w:p w:rsidR="00F31442" w:rsidRDefault="00F31442" w:rsidP="00F31442">
      <w:pPr>
        <w:jc w:val="both"/>
        <w:rPr>
          <w:rFonts w:ascii="Arial" w:hAnsi="Arial" w:cs="Arial"/>
          <w:b/>
        </w:rPr>
      </w:pPr>
    </w:p>
    <w:p w:rsidR="00F31442" w:rsidRPr="00F31442" w:rsidRDefault="00F31442" w:rsidP="00F31442">
      <w:pPr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</w:t>
      </w:r>
      <w:r w:rsidRPr="00F31442">
        <w:rPr>
          <w:rFonts w:ascii="Arial" w:hAnsi="Arial" w:cs="Arial"/>
          <w:b/>
        </w:rPr>
        <w:t>. Чл.</w:t>
      </w:r>
      <w:r w:rsidRPr="00F31442">
        <w:rPr>
          <w:rFonts w:ascii="Arial" w:hAnsi="Arial" w:cs="Arial"/>
          <w:b/>
        </w:rPr>
        <w:t>48, ал.3</w:t>
      </w:r>
      <w:r w:rsidRPr="00F31442">
        <w:rPr>
          <w:rFonts w:ascii="Arial" w:hAnsi="Arial" w:cs="Arial"/>
          <w:b/>
        </w:rPr>
        <w:t xml:space="preserve"> се изменя по следния начин:</w:t>
      </w:r>
    </w:p>
    <w:p w:rsidR="00B86C52" w:rsidRPr="00F31442" w:rsidRDefault="00B86C52" w:rsidP="00B86C52">
      <w:pPr>
        <w:jc w:val="both"/>
        <w:rPr>
          <w:rFonts w:ascii="Arial" w:hAnsi="Arial" w:cs="Arial"/>
        </w:rPr>
      </w:pPr>
      <w:r w:rsidRPr="00F31442">
        <w:rPr>
          <w:rFonts w:ascii="Arial" w:hAnsi="Arial" w:cs="Arial"/>
        </w:rPr>
        <w:t xml:space="preserve">(3)  При наличие на помещения кметът на общината издава заповед въз основа на която се сключва договор за </w:t>
      </w:r>
      <w:r w:rsidRPr="00F31442">
        <w:rPr>
          <w:rFonts w:ascii="Arial" w:hAnsi="Arial" w:cs="Arial"/>
        </w:rPr>
        <w:t>безвъзмездно право на ползване</w:t>
      </w:r>
      <w:r w:rsidRPr="00F31442">
        <w:rPr>
          <w:rFonts w:ascii="Arial" w:hAnsi="Arial" w:cs="Arial"/>
        </w:rPr>
        <w:t>, при условия  определени с решението от общинския съвет по ал. 1, за срок до 10 години.</w:t>
      </w:r>
    </w:p>
    <w:p w:rsidR="00F31442" w:rsidRDefault="00F31442" w:rsidP="00F31442">
      <w:pPr>
        <w:jc w:val="both"/>
        <w:rPr>
          <w:rFonts w:ascii="Arial" w:hAnsi="Arial" w:cs="Arial"/>
          <w:b/>
        </w:rPr>
      </w:pPr>
    </w:p>
    <w:p w:rsidR="00F31442" w:rsidRPr="00F31442" w:rsidRDefault="00F31442" w:rsidP="00B25202">
      <w:pPr>
        <w:spacing w:after="0"/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>§</w:t>
      </w:r>
      <w:bookmarkStart w:id="0" w:name="_GoBack"/>
      <w:bookmarkEnd w:id="0"/>
      <w:r>
        <w:rPr>
          <w:rFonts w:ascii="Arial" w:hAnsi="Arial" w:cs="Arial"/>
          <w:b/>
        </w:rPr>
        <w:t>4</w:t>
      </w:r>
      <w:r w:rsidRPr="00F31442">
        <w:rPr>
          <w:rFonts w:ascii="Arial" w:hAnsi="Arial" w:cs="Arial"/>
          <w:b/>
        </w:rPr>
        <w:t>. Чл.</w:t>
      </w:r>
      <w:r w:rsidRPr="00F31442">
        <w:rPr>
          <w:rFonts w:ascii="Arial" w:hAnsi="Arial" w:cs="Arial"/>
          <w:b/>
        </w:rPr>
        <w:t>48, ал.6</w:t>
      </w:r>
      <w:r w:rsidRPr="00F31442">
        <w:rPr>
          <w:rFonts w:ascii="Arial" w:hAnsi="Arial" w:cs="Arial"/>
          <w:b/>
        </w:rPr>
        <w:t xml:space="preserve"> </w:t>
      </w:r>
      <w:r w:rsidRPr="00F31442">
        <w:rPr>
          <w:rFonts w:ascii="Arial" w:hAnsi="Arial" w:cs="Arial"/>
          <w:b/>
        </w:rPr>
        <w:t>се отменя</w:t>
      </w:r>
      <w:r w:rsidRPr="00F31442">
        <w:rPr>
          <w:rFonts w:ascii="Arial" w:hAnsi="Arial" w:cs="Arial"/>
          <w:b/>
        </w:rPr>
        <w:t>:</w:t>
      </w:r>
    </w:p>
    <w:p w:rsidR="00B86C52" w:rsidRPr="00F31442" w:rsidRDefault="00B86C52" w:rsidP="00B86C52">
      <w:pPr>
        <w:jc w:val="both"/>
        <w:rPr>
          <w:rFonts w:ascii="Arial" w:hAnsi="Arial" w:cs="Arial"/>
          <w:szCs w:val="28"/>
        </w:rPr>
      </w:pPr>
      <w:r w:rsidRPr="00F31442">
        <w:rPr>
          <w:rFonts w:ascii="Arial" w:hAnsi="Arial" w:cs="Arial"/>
          <w:szCs w:val="28"/>
        </w:rPr>
        <w:t xml:space="preserve">(6) </w:t>
      </w:r>
      <w:r w:rsidRPr="00F31442">
        <w:rPr>
          <w:rFonts w:ascii="Arial" w:hAnsi="Arial" w:cs="Arial"/>
          <w:szCs w:val="28"/>
          <w:lang w:val="x-none"/>
        </w:rPr>
        <w:t>Размерът на наема се определя при условията на Закона за политическите партии.</w:t>
      </w:r>
      <w:r w:rsidRPr="00F31442">
        <w:rPr>
          <w:rFonts w:ascii="Arial" w:hAnsi="Arial" w:cs="Arial"/>
          <w:szCs w:val="28"/>
        </w:rPr>
        <w:t xml:space="preserve"> </w:t>
      </w:r>
    </w:p>
    <w:p w:rsidR="00F31442" w:rsidRPr="00F31442" w:rsidRDefault="00F31442" w:rsidP="005F341C">
      <w:pPr>
        <w:jc w:val="both"/>
        <w:rPr>
          <w:rFonts w:ascii="Arial" w:hAnsi="Arial" w:cs="Arial"/>
          <w:szCs w:val="28"/>
          <w:lang w:val="ru-RU"/>
        </w:rPr>
      </w:pPr>
    </w:p>
    <w:p w:rsidR="00F31442" w:rsidRPr="00F31442" w:rsidRDefault="00F31442" w:rsidP="00F31442">
      <w:pPr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5</w:t>
      </w:r>
      <w:r w:rsidRPr="00F31442">
        <w:rPr>
          <w:rFonts w:ascii="Arial" w:hAnsi="Arial" w:cs="Arial"/>
          <w:b/>
        </w:rPr>
        <w:t>. Чл.</w:t>
      </w:r>
      <w:r w:rsidRPr="00F31442">
        <w:rPr>
          <w:rFonts w:ascii="Arial" w:hAnsi="Arial" w:cs="Arial"/>
          <w:b/>
        </w:rPr>
        <w:t>119, ал.3, т.1</w:t>
      </w:r>
      <w:r w:rsidRPr="00F31442">
        <w:rPr>
          <w:rFonts w:ascii="Arial" w:hAnsi="Arial" w:cs="Arial"/>
          <w:b/>
        </w:rPr>
        <w:t xml:space="preserve"> се изменя по следния начин:</w:t>
      </w:r>
    </w:p>
    <w:p w:rsidR="00B86C52" w:rsidRPr="00F31442" w:rsidRDefault="00B86C52" w:rsidP="005F341C">
      <w:pPr>
        <w:jc w:val="both"/>
        <w:rPr>
          <w:rFonts w:ascii="Arial" w:hAnsi="Arial" w:cs="Arial"/>
          <w:szCs w:val="28"/>
          <w:lang w:val="ru-RU"/>
        </w:rPr>
      </w:pPr>
      <w:r w:rsidRPr="00F31442">
        <w:rPr>
          <w:rFonts w:ascii="Arial" w:hAnsi="Arial" w:cs="Arial"/>
          <w:szCs w:val="28"/>
          <w:lang w:val="ru-RU"/>
        </w:rPr>
        <w:t>Чл.119</w:t>
      </w:r>
      <w:r w:rsidRPr="00F31442">
        <w:rPr>
          <w:rFonts w:ascii="Arial" w:hAnsi="Arial" w:cs="Arial"/>
          <w:szCs w:val="28"/>
          <w:lang w:val="ru-RU"/>
        </w:rPr>
        <w:t>(</w:t>
      </w:r>
      <w:r w:rsidRPr="00F31442">
        <w:rPr>
          <w:rFonts w:ascii="Arial" w:hAnsi="Arial" w:cs="Arial"/>
          <w:szCs w:val="28"/>
        </w:rPr>
        <w:t>3</w:t>
      </w:r>
      <w:r w:rsidRPr="00F31442">
        <w:rPr>
          <w:rFonts w:ascii="Arial" w:hAnsi="Arial" w:cs="Arial"/>
          <w:szCs w:val="28"/>
          <w:lang w:val="ru-RU"/>
        </w:rPr>
        <w:t xml:space="preserve">) </w:t>
      </w:r>
      <w:proofErr w:type="spellStart"/>
      <w:r w:rsidRPr="00F31442">
        <w:rPr>
          <w:rFonts w:ascii="Arial" w:hAnsi="Arial" w:cs="Arial"/>
          <w:szCs w:val="28"/>
          <w:lang w:val="ru-RU"/>
        </w:rPr>
        <w:t>Търгове</w:t>
      </w:r>
      <w:proofErr w:type="spellEnd"/>
      <w:r w:rsidRPr="00F31442">
        <w:rPr>
          <w:rFonts w:ascii="Arial" w:hAnsi="Arial" w:cs="Arial"/>
          <w:szCs w:val="28"/>
          <w:lang w:val="ru-RU"/>
        </w:rPr>
        <w:t xml:space="preserve"> и </w:t>
      </w:r>
      <w:proofErr w:type="spellStart"/>
      <w:r w:rsidRPr="00F31442">
        <w:rPr>
          <w:rFonts w:ascii="Arial" w:hAnsi="Arial" w:cs="Arial"/>
          <w:szCs w:val="28"/>
          <w:lang w:val="ru-RU"/>
        </w:rPr>
        <w:t>конкурси</w:t>
      </w:r>
      <w:proofErr w:type="spellEnd"/>
      <w:r w:rsidRPr="00F31442">
        <w:rPr>
          <w:rFonts w:ascii="Arial" w:hAnsi="Arial" w:cs="Arial"/>
          <w:szCs w:val="28"/>
          <w:lang w:val="ru-RU"/>
        </w:rPr>
        <w:t xml:space="preserve"> не се </w:t>
      </w:r>
      <w:proofErr w:type="spellStart"/>
      <w:r w:rsidRPr="00F31442">
        <w:rPr>
          <w:rFonts w:ascii="Arial" w:hAnsi="Arial" w:cs="Arial"/>
          <w:szCs w:val="28"/>
          <w:lang w:val="ru-RU"/>
        </w:rPr>
        <w:t>провеждат</w:t>
      </w:r>
      <w:proofErr w:type="spellEnd"/>
      <w:r w:rsidRPr="00F31442">
        <w:rPr>
          <w:rFonts w:ascii="Arial" w:hAnsi="Arial" w:cs="Arial"/>
          <w:szCs w:val="28"/>
          <w:lang w:val="ru-RU"/>
        </w:rPr>
        <w:t xml:space="preserve"> в </w:t>
      </w:r>
      <w:proofErr w:type="spellStart"/>
      <w:r w:rsidRPr="00F31442">
        <w:rPr>
          <w:rFonts w:ascii="Arial" w:hAnsi="Arial" w:cs="Arial"/>
          <w:szCs w:val="28"/>
          <w:lang w:val="ru-RU"/>
        </w:rPr>
        <w:t>следните</w:t>
      </w:r>
      <w:proofErr w:type="spellEnd"/>
      <w:r w:rsidRPr="00F31442">
        <w:rPr>
          <w:rFonts w:ascii="Arial" w:hAnsi="Arial" w:cs="Arial"/>
          <w:szCs w:val="28"/>
          <w:lang w:val="ru-RU"/>
        </w:rPr>
        <w:t xml:space="preserve"> случаи:</w:t>
      </w:r>
    </w:p>
    <w:p w:rsidR="00B86C52" w:rsidRPr="00F31442" w:rsidRDefault="00B86C52" w:rsidP="005F341C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spellStart"/>
      <w:r w:rsidRPr="00F31442">
        <w:rPr>
          <w:rFonts w:ascii="Arial" w:hAnsi="Arial" w:cs="Arial"/>
          <w:lang w:val="ru-RU"/>
        </w:rPr>
        <w:t>Предоставяне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="005F341C" w:rsidRPr="00F31442">
        <w:rPr>
          <w:rFonts w:ascii="Arial" w:hAnsi="Arial" w:cs="Arial"/>
          <w:lang w:val="ru-RU"/>
        </w:rPr>
        <w:t>безвъзмездно</w:t>
      </w:r>
      <w:proofErr w:type="spellEnd"/>
      <w:r w:rsidR="005F341C" w:rsidRPr="00F31442">
        <w:rPr>
          <w:rFonts w:ascii="Arial" w:hAnsi="Arial" w:cs="Arial"/>
          <w:lang w:val="ru-RU"/>
        </w:rPr>
        <w:t xml:space="preserve"> право на </w:t>
      </w:r>
      <w:proofErr w:type="spellStart"/>
      <w:r w:rsidR="005F341C" w:rsidRPr="00F31442">
        <w:rPr>
          <w:rFonts w:ascii="Arial" w:hAnsi="Arial" w:cs="Arial"/>
          <w:lang w:val="ru-RU"/>
        </w:rPr>
        <w:t>позване</w:t>
      </w:r>
      <w:proofErr w:type="spellEnd"/>
      <w:r w:rsidR="005F341C" w:rsidRPr="00F31442">
        <w:rPr>
          <w:rFonts w:ascii="Arial" w:hAnsi="Arial" w:cs="Arial"/>
          <w:lang w:val="ru-RU"/>
        </w:rPr>
        <w:t xml:space="preserve"> </w:t>
      </w:r>
      <w:proofErr w:type="spellStart"/>
      <w:r w:rsidR="005F341C" w:rsidRPr="00F31442">
        <w:rPr>
          <w:rFonts w:ascii="Arial" w:hAnsi="Arial" w:cs="Arial"/>
          <w:lang w:val="ru-RU"/>
        </w:rPr>
        <w:t>възху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свободни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нежилищни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имоти</w:t>
      </w:r>
      <w:proofErr w:type="spellEnd"/>
      <w:r w:rsidRPr="00F31442">
        <w:rPr>
          <w:rFonts w:ascii="Arial" w:hAnsi="Arial" w:cs="Arial"/>
          <w:lang w:val="ru-RU"/>
        </w:rPr>
        <w:t xml:space="preserve"> – </w:t>
      </w:r>
      <w:proofErr w:type="spellStart"/>
      <w:r w:rsidRPr="00F31442">
        <w:rPr>
          <w:rFonts w:ascii="Arial" w:hAnsi="Arial" w:cs="Arial"/>
          <w:lang w:val="ru-RU"/>
        </w:rPr>
        <w:t>частна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общинска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собственост</w:t>
      </w:r>
      <w:proofErr w:type="spellEnd"/>
      <w:r w:rsidRPr="00F31442">
        <w:rPr>
          <w:rFonts w:ascii="Arial" w:hAnsi="Arial" w:cs="Arial"/>
          <w:lang w:val="ru-RU"/>
        </w:rPr>
        <w:t xml:space="preserve"> за </w:t>
      </w:r>
      <w:proofErr w:type="spellStart"/>
      <w:r w:rsidRPr="00F31442">
        <w:rPr>
          <w:rFonts w:ascii="Arial" w:hAnsi="Arial" w:cs="Arial"/>
          <w:lang w:val="ru-RU"/>
        </w:rPr>
        <w:t>нуждите</w:t>
      </w:r>
      <w:proofErr w:type="spellEnd"/>
      <w:r w:rsidRPr="00F31442">
        <w:rPr>
          <w:rFonts w:ascii="Arial" w:hAnsi="Arial" w:cs="Arial"/>
          <w:lang w:val="ru-RU"/>
        </w:rPr>
        <w:t xml:space="preserve"> на </w:t>
      </w:r>
      <w:proofErr w:type="spellStart"/>
      <w:r w:rsidRPr="00F31442">
        <w:rPr>
          <w:rFonts w:ascii="Arial" w:hAnsi="Arial" w:cs="Arial"/>
          <w:lang w:val="ru-RU"/>
        </w:rPr>
        <w:t>общинските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ръководства</w:t>
      </w:r>
      <w:proofErr w:type="spellEnd"/>
      <w:r w:rsidRPr="00F31442">
        <w:rPr>
          <w:rFonts w:ascii="Arial" w:hAnsi="Arial" w:cs="Arial"/>
          <w:lang w:val="ru-RU"/>
        </w:rPr>
        <w:t xml:space="preserve"> на </w:t>
      </w:r>
      <w:proofErr w:type="spellStart"/>
      <w:r w:rsidRPr="00F31442">
        <w:rPr>
          <w:rFonts w:ascii="Arial" w:hAnsi="Arial" w:cs="Arial"/>
          <w:lang w:val="ru-RU"/>
        </w:rPr>
        <w:t>политическите</w:t>
      </w:r>
      <w:proofErr w:type="spellEnd"/>
      <w:r w:rsidRPr="00F31442">
        <w:rPr>
          <w:rFonts w:ascii="Arial" w:hAnsi="Arial" w:cs="Arial"/>
          <w:lang w:val="ru-RU"/>
        </w:rPr>
        <w:t xml:space="preserve"> партии, </w:t>
      </w:r>
      <w:proofErr w:type="spellStart"/>
      <w:r w:rsidRPr="00F31442">
        <w:rPr>
          <w:rFonts w:ascii="Arial" w:hAnsi="Arial" w:cs="Arial"/>
          <w:lang w:val="ru-RU"/>
        </w:rPr>
        <w:t>отговарящи</w:t>
      </w:r>
      <w:proofErr w:type="spellEnd"/>
      <w:r w:rsidRPr="00F31442">
        <w:rPr>
          <w:rFonts w:ascii="Arial" w:hAnsi="Arial" w:cs="Arial"/>
          <w:lang w:val="ru-RU"/>
        </w:rPr>
        <w:t xml:space="preserve"> на </w:t>
      </w:r>
      <w:proofErr w:type="spellStart"/>
      <w:r w:rsidRPr="00F31442">
        <w:rPr>
          <w:rFonts w:ascii="Arial" w:hAnsi="Arial" w:cs="Arial"/>
          <w:lang w:val="ru-RU"/>
        </w:rPr>
        <w:t>условията</w:t>
      </w:r>
      <w:proofErr w:type="spellEnd"/>
      <w:r w:rsidRPr="00F31442">
        <w:rPr>
          <w:rFonts w:ascii="Arial" w:hAnsi="Arial" w:cs="Arial"/>
          <w:lang w:val="ru-RU"/>
        </w:rPr>
        <w:t xml:space="preserve"> на чл.31, ал.1 от Закона за </w:t>
      </w:r>
      <w:proofErr w:type="spellStart"/>
      <w:r w:rsidRPr="00F31442">
        <w:rPr>
          <w:rFonts w:ascii="Arial" w:hAnsi="Arial" w:cs="Arial"/>
          <w:lang w:val="ru-RU"/>
        </w:rPr>
        <w:t>политическите</w:t>
      </w:r>
      <w:proofErr w:type="spellEnd"/>
      <w:r w:rsidRPr="00F31442">
        <w:rPr>
          <w:rFonts w:ascii="Arial" w:hAnsi="Arial" w:cs="Arial"/>
          <w:lang w:val="ru-RU"/>
        </w:rPr>
        <w:t xml:space="preserve"> партии, за срок </w:t>
      </w:r>
      <w:proofErr w:type="gramStart"/>
      <w:r w:rsidRPr="00F31442">
        <w:rPr>
          <w:rFonts w:ascii="Arial" w:hAnsi="Arial" w:cs="Arial"/>
          <w:lang w:val="ru-RU"/>
        </w:rPr>
        <w:t>до</w:t>
      </w:r>
      <w:proofErr w:type="gram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обявяване</w:t>
      </w:r>
      <w:proofErr w:type="spellEnd"/>
      <w:r w:rsidRPr="00F31442">
        <w:rPr>
          <w:rFonts w:ascii="Arial" w:hAnsi="Arial" w:cs="Arial"/>
          <w:lang w:val="ru-RU"/>
        </w:rPr>
        <w:t xml:space="preserve"> на </w:t>
      </w:r>
      <w:proofErr w:type="spellStart"/>
      <w:r w:rsidRPr="00F31442">
        <w:rPr>
          <w:rFonts w:ascii="Arial" w:hAnsi="Arial" w:cs="Arial"/>
          <w:lang w:val="ru-RU"/>
        </w:rPr>
        <w:t>резултатите</w:t>
      </w:r>
      <w:proofErr w:type="spellEnd"/>
      <w:r w:rsidRPr="00F31442">
        <w:rPr>
          <w:rFonts w:ascii="Arial" w:hAnsi="Arial" w:cs="Arial"/>
          <w:lang w:val="ru-RU"/>
        </w:rPr>
        <w:t xml:space="preserve"> от </w:t>
      </w:r>
      <w:proofErr w:type="spellStart"/>
      <w:r w:rsidRPr="00F31442">
        <w:rPr>
          <w:rFonts w:ascii="Arial" w:hAnsi="Arial" w:cs="Arial"/>
          <w:lang w:val="ru-RU"/>
        </w:rPr>
        <w:t>следващите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парламентарни</w:t>
      </w:r>
      <w:proofErr w:type="spellEnd"/>
      <w:r w:rsidRPr="00F31442">
        <w:rPr>
          <w:rFonts w:ascii="Arial" w:hAnsi="Arial" w:cs="Arial"/>
          <w:lang w:val="ru-RU"/>
        </w:rPr>
        <w:t xml:space="preserve"> </w:t>
      </w:r>
      <w:proofErr w:type="spellStart"/>
      <w:r w:rsidRPr="00F31442">
        <w:rPr>
          <w:rFonts w:ascii="Arial" w:hAnsi="Arial" w:cs="Arial"/>
          <w:lang w:val="ru-RU"/>
        </w:rPr>
        <w:t>избори</w:t>
      </w:r>
      <w:proofErr w:type="spellEnd"/>
      <w:r w:rsidRPr="00F31442">
        <w:rPr>
          <w:rFonts w:ascii="Arial" w:hAnsi="Arial" w:cs="Arial"/>
          <w:lang w:val="ru-RU"/>
        </w:rPr>
        <w:t>;</w:t>
      </w:r>
    </w:p>
    <w:p w:rsidR="005F341C" w:rsidRPr="00F31442" w:rsidRDefault="005F341C" w:rsidP="005F341C">
      <w:pPr>
        <w:jc w:val="both"/>
        <w:rPr>
          <w:rFonts w:ascii="Arial" w:hAnsi="Arial" w:cs="Arial"/>
        </w:rPr>
      </w:pPr>
    </w:p>
    <w:p w:rsidR="00F31442" w:rsidRPr="00F31442" w:rsidRDefault="00F31442" w:rsidP="00F31442">
      <w:pPr>
        <w:jc w:val="both"/>
        <w:rPr>
          <w:rFonts w:ascii="Arial" w:hAnsi="Arial" w:cs="Arial"/>
          <w:b/>
        </w:rPr>
      </w:pPr>
      <w:r w:rsidRPr="00F3144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6</w:t>
      </w:r>
      <w:r w:rsidRPr="00F31442">
        <w:rPr>
          <w:rFonts w:ascii="Arial" w:hAnsi="Arial" w:cs="Arial"/>
          <w:b/>
        </w:rPr>
        <w:t>.</w:t>
      </w:r>
      <w:r w:rsidRPr="00F31442">
        <w:rPr>
          <w:rFonts w:ascii="Arial" w:hAnsi="Arial" w:cs="Arial"/>
          <w:b/>
        </w:rPr>
        <w:t xml:space="preserve"> </w:t>
      </w:r>
      <w:r w:rsidRPr="00F31442">
        <w:rPr>
          <w:rFonts w:ascii="Arial" w:hAnsi="Arial" w:cs="Arial"/>
          <w:b/>
        </w:rPr>
        <w:t>Чл.</w:t>
      </w:r>
      <w:r w:rsidRPr="00F31442">
        <w:rPr>
          <w:rFonts w:ascii="Arial" w:hAnsi="Arial" w:cs="Arial"/>
          <w:b/>
        </w:rPr>
        <w:t>125, ал.1</w:t>
      </w:r>
      <w:r w:rsidRPr="00F31442">
        <w:rPr>
          <w:rFonts w:ascii="Arial" w:hAnsi="Arial" w:cs="Arial"/>
          <w:b/>
        </w:rPr>
        <w:t xml:space="preserve"> се изменя по следния начин:</w:t>
      </w:r>
    </w:p>
    <w:p w:rsidR="005F341C" w:rsidRPr="00F31442" w:rsidRDefault="005F341C" w:rsidP="005F341C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F31442">
        <w:rPr>
          <w:rFonts w:ascii="Arial" w:hAnsi="Arial" w:cs="Arial"/>
          <w:b/>
          <w:szCs w:val="24"/>
        </w:rPr>
        <w:t>Чл.125.</w:t>
      </w:r>
      <w:r w:rsidRPr="00F31442">
        <w:rPr>
          <w:rFonts w:ascii="Arial" w:hAnsi="Arial" w:cs="Arial"/>
          <w:szCs w:val="24"/>
        </w:rPr>
        <w:t xml:space="preserve"> (1) Към заявлението за участие в търга кандидатите прилагат и следните документи: </w:t>
      </w:r>
    </w:p>
    <w:p w:rsidR="005F341C" w:rsidRPr="00F31442" w:rsidRDefault="005F341C" w:rsidP="005F341C">
      <w:pPr>
        <w:numPr>
          <w:ilvl w:val="0"/>
          <w:numId w:val="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F31442">
        <w:rPr>
          <w:rFonts w:ascii="Arial" w:hAnsi="Arial" w:cs="Arial"/>
          <w:szCs w:val="24"/>
        </w:rPr>
        <w:t xml:space="preserve">Нотариално заверено пълномощно, в случай, че кандидатът се представлява от пълномощник; </w:t>
      </w:r>
    </w:p>
    <w:p w:rsidR="005F341C" w:rsidRPr="00F31442" w:rsidRDefault="005F341C" w:rsidP="005F341C">
      <w:pPr>
        <w:numPr>
          <w:ilvl w:val="0"/>
          <w:numId w:val="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F31442">
        <w:rPr>
          <w:rFonts w:ascii="Arial" w:hAnsi="Arial" w:cs="Arial"/>
          <w:szCs w:val="24"/>
        </w:rPr>
        <w:t xml:space="preserve">Документ за закупени тръжни книжа; </w:t>
      </w:r>
    </w:p>
    <w:p w:rsidR="005F341C" w:rsidRPr="00F31442" w:rsidRDefault="005F341C" w:rsidP="005F341C">
      <w:pPr>
        <w:numPr>
          <w:ilvl w:val="0"/>
          <w:numId w:val="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F31442">
        <w:rPr>
          <w:rFonts w:ascii="Arial" w:hAnsi="Arial" w:cs="Arial"/>
          <w:szCs w:val="24"/>
        </w:rPr>
        <w:t>Документ за внесен депозит. За депозит се приема парична вноска по посочена банкова сметка</w:t>
      </w:r>
      <w:r w:rsidRPr="00F31442">
        <w:rPr>
          <w:rFonts w:ascii="Arial" w:hAnsi="Arial" w:cs="Arial"/>
          <w:szCs w:val="24"/>
        </w:rPr>
        <w:t>.</w:t>
      </w:r>
    </w:p>
    <w:p w:rsidR="00B86C52" w:rsidRDefault="005F341C" w:rsidP="00F31442">
      <w:pPr>
        <w:numPr>
          <w:ilvl w:val="0"/>
          <w:numId w:val="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</w:pPr>
      <w:r w:rsidRPr="00F31442">
        <w:rPr>
          <w:rFonts w:ascii="Arial" w:hAnsi="Arial" w:cs="Arial"/>
          <w:szCs w:val="24"/>
        </w:rPr>
        <w:t xml:space="preserve">Други документи съгласно тръжната документация. </w:t>
      </w:r>
    </w:p>
    <w:sectPr w:rsidR="00B86C52" w:rsidSect="00F314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DE4"/>
    <w:multiLevelType w:val="hybridMultilevel"/>
    <w:tmpl w:val="BD004CCE"/>
    <w:lvl w:ilvl="0" w:tplc="0D9A4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6E0ED4"/>
    <w:multiLevelType w:val="hybridMultilevel"/>
    <w:tmpl w:val="B23EAC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432A"/>
    <w:multiLevelType w:val="hybridMultilevel"/>
    <w:tmpl w:val="61080494"/>
    <w:lvl w:ilvl="0" w:tplc="04020011">
      <w:start w:val="1"/>
      <w:numFmt w:val="decimal"/>
      <w:lvlText w:val="%1)"/>
      <w:lvlJc w:val="left"/>
      <w:pPr>
        <w:tabs>
          <w:tab w:val="num" w:pos="-4860"/>
        </w:tabs>
        <w:ind w:left="-48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4140"/>
        </w:tabs>
        <w:ind w:left="-4140" w:hanging="360"/>
      </w:pPr>
    </w:lvl>
    <w:lvl w:ilvl="2" w:tplc="04020005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E1F8AA22">
      <w:start w:val="1"/>
      <w:numFmt w:val="decimal"/>
      <w:lvlText w:val="%5.)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-1260"/>
        </w:tabs>
        <w:ind w:left="-1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80"/>
        </w:tabs>
        <w:ind w:left="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"/>
        </w:tabs>
        <w:ind w:left="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52"/>
    <w:rsid w:val="004963EC"/>
    <w:rsid w:val="005F341C"/>
    <w:rsid w:val="00B25202"/>
    <w:rsid w:val="00B86C52"/>
    <w:rsid w:val="00F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2019-12-20T09:34:00Z</dcterms:created>
  <dcterms:modified xsi:type="dcterms:W3CDTF">2019-12-20T10:13:00Z</dcterms:modified>
</cp:coreProperties>
</file>